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North East</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North East</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1859441" cy="1975275"/>
            <wp:docPr id="1002" name="Picture 1580869515"/>
            <wp:cNvGraphicFramePr>
              <a:graphicFrameLocks noChangeAspect="1"/>
            </wp:cNvGraphicFramePr>
            <a:graphic>
              <a:graphicData uri="http://schemas.openxmlformats.org/drawingml/2006/picture">
                <pic:pic>
                  <pic:nvPicPr>
                    <pic:cNvPr id="0" name="North East.png"/>
                    <pic:cNvPicPr/>
                  </pic:nvPicPr>
                  <pic:blipFill>
                    <a:blip r:embed="rId28"/>
                    <a:stretch>
                      <a:fillRect/>
                    </a:stretch>
                  </pic:blipFill>
                  <pic:spPr>
                    <a:xfrm>
                      <a:off x="0" y="0"/>
                      <a:ext cx="1859441" cy="1975275"/>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North East,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North East,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North East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The North East is ranked </w:t>
      </w:r>
      <w:r w:rsidRPr="004141A5">
        <w:rPr>
          <w:rFonts w:ascii="Franklin Gothic Book" w:eastAsia="Times New Roman" w:hAnsi="Franklin Gothic Book" w:cs="Calibri Light"/>
          <w:b/>
          <w:bCs/>
          <w:color w:val="EF681C" w:themeColor="accent2"/>
          <w:sz w:val="22"/>
          <w:szCs w:val="22"/>
        </w:rPr>
        <w:t xml:space="preserve">highest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68.6%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lower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3.4%</w:t>
      </w:r>
      <w:r w:rsidR="009E7905" w:rsidRPr="004141A5">
        <w:rPr>
          <w:rFonts w:ascii="Franklin Gothic Book" w:eastAsia="Times New Roman" w:hAnsi="Franklin Gothic Book" w:cs="Calibri Light"/>
          <w:sz w:val="22"/>
          <w:szCs w:val="22"/>
        </w:rPr>
        <w:t xml:space="preserve">) in the North East</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4th</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s</w:t>
      </w:r>
      <w:r w:rsidRPr="004141A5">
        <w:rPr>
          <w:rFonts w:ascii="Franklin Gothic Book" w:hAnsi="Franklin Gothic Book" w:cs="Calibri Light"/>
          <w:sz w:val="22"/>
          <w:szCs w:val="22"/>
        </w:rPr>
        <w:t xml:space="preserve"> for not seeking treatment, support or advice across the North East (among those with a PGSI score of 8+) is </w:t>
      </w:r>
      <w:r w:rsidRPr="004141A5">
        <w:rPr>
          <w:rFonts w:ascii="Franklin Gothic Book" w:hAnsi="Franklin Gothic Book" w:cs="Calibri Light"/>
          <w:b/>
          <w:bCs/>
          <w:color w:val="EF681C" w:themeColor="accent2"/>
          <w:sz w:val="22"/>
          <w:szCs w:val="22"/>
        </w:rPr>
        <w:t xml:space="preserve">Stigma &amp; Don't think treatment or support is relevant or suitable &amp; Think that accessing treatment or support would be inaccessible</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51.0%</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these</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North East.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The North East</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higher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highest</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68.6%</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1,491,875</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the North East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3051"/>
            <wp:docPr id="1004" name="Picture 1580869506"/>
            <wp:cNvGraphicFramePr>
              <a:graphicFrameLocks noChangeAspect="1"/>
            </wp:cNvGraphicFramePr>
            <a:graphic>
              <a:graphicData uri="http://schemas.openxmlformats.org/drawingml/2006/picture">
                <pic:pic>
                  <pic:nvPicPr>
                    <pic:cNvPr id="0" name="participating_time_series_North East.png"/>
                    <pic:cNvPicPr/>
                  </pic:nvPicPr>
                  <pic:blipFill>
                    <a:blip r:embed="rId19"/>
                    <a:stretch>
                      <a:fillRect/>
                    </a:stretch>
                  </pic:blipFill>
                  <pic:spPr>
                    <a:xfrm>
                      <a:off x="0" y="0"/>
                      <a:ext cx="5400000" cy="2793051"/>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The North East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62.3%</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68.6%</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North East.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The North East</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higher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16.0%</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348,161</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the North East</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second highest</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5th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4th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the North East</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34264"/>
            <wp:docPr id="1006" name="Picture 1580869508"/>
            <wp:cNvGraphicFramePr>
              <a:graphicFrameLocks noChangeAspect="1"/>
            </wp:cNvGraphicFramePr>
            <a:graphic>
              <a:graphicData uri="http://schemas.openxmlformats.org/drawingml/2006/picture">
                <pic:pic>
                  <pic:nvPicPr>
                    <pic:cNvPr id="0" name="la_top_ten_North East.png"/>
                    <pic:cNvPicPr/>
                  </pic:nvPicPr>
                  <pic:blipFill>
                    <a:blip r:embed="rId21"/>
                    <a:stretch>
                      <a:fillRect/>
                    </a:stretch>
                  </pic:blipFill>
                  <pic:spPr>
                    <a:xfrm>
                      <a:off x="0" y="0"/>
                      <a:ext cx="5400000" cy="2834264"/>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the North East</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Newcastle upon Tyne (20.6%).</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4.2%</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 This is likely to be linked to the relatively high unemployment rate in Newcastle upon Tyne (as evidence in Appendix A shows, those that are unemployed are at higher risk of experiencing 'problem gambling').</w:t>
      </w:r>
      <w:r w:rsidR="00F552B6">
        <w:rPr>
          <w:rFonts w:ascii="Franklin Gothic Book" w:hAnsi="Franklin Gothic Book" w:cs="Calibri Light"/>
        </w:rPr>
        <w:t xml:space="preserve"> </w:t>
      </w:r>
      <w:r w:rsidRPr="00B15F74">
        <w:rPr>
          <w:rFonts w:ascii="Franklin Gothic Book" w:hAnsi="Franklin Gothic Book" w:cs="Calibri Light"/>
        </w:rPr>
        <w:t xml:space="preserve">By contrast, rural areas of the region have lower levels of residents scoring 1 or more on the PGSI.</w:t>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Northumberland (12.6%)</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the North East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North East.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The North East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2.4%</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3.4%</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aligned with</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The North East</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6.0%</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second lowest</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8.4%</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8th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North East.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The North East</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lower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5.2%</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the North East</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9th</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28.4%</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However</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the North East shows a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42.6%</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lowest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North East.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The North East</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lower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7.8%</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9th</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25.4%</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the North East</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46.4%</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Newcastle upon Tyne</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This higher rate of wanting treatment is likely linked to the relatively high unemployment rate in Newcastle upon Tyne. Data shows, those that are unemployed are more likely to have higher levels of ‘problem gambling’.</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the North East</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0" name="Picture 1580869511"/>
            <wp:cNvGraphicFramePr>
              <a:graphicFrameLocks noChangeAspect="1"/>
            </wp:cNvGraphicFramePr>
            <a:graphic>
              <a:graphicData uri="http://schemas.openxmlformats.org/drawingml/2006/picture">
                <pic:pic>
                  <pic:nvPicPr>
                    <pic:cNvPr id="0" name="pgsi_access_treat_time_series_North East.png"/>
                    <pic:cNvPicPr/>
                  </pic:nvPicPr>
                  <pic:blipFill>
                    <a:blip r:embed="rId24"/>
                    <a:stretch>
                      <a:fillRect/>
                    </a:stretch>
                  </pic:blipFill>
                  <pic:spPr>
                    <a:xfrm>
                      <a:off x="0" y="0"/>
                      <a:ext cx="5400000" cy="253922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The North East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decreasing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69.6%</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42.6%</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 divergence from</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the North East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North East.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The North East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decreasing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55.7%</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46.4%</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 divergence from</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North East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North East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North East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74.4%*</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15.0%*</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25.0%*</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10.5%*</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34.0%*</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51.0%*</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50.3%*</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5.2%*</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26.0%*</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51.0%*</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5.2%*</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15.7%*</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51.0%*</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the North East</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74.4%</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46.2%</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Don't think treatment or support is relevant or suitable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34.0%</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24.7%</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Stigma &amp; Don't think treatment or support is relevant or suitable &amp; Think that accessing treatment or support would be inaccessible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51.0%</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23.9% &amp; 17.3% &amp; 17.0%</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North East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North East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North East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29.9%*</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56.1%*</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29.2%*</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18.8%*</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64.4%*</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42.4%*</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13.3%*</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19.0%*</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the North East</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respondents did not identify any of the above reasons for seeking treatment.</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
      </w:r>
      <w:r w:rsidR="00001D81">
        <w:rPr>
          <w:rFonts w:ascii="Franklin Gothic Book" w:eastAsia="Times New Roman" w:hAnsi="Franklin Gothic Book" w:cs="Calibri Light"/>
          <w:szCs w:val="20"/>
          <w:lang w:eastAsia="en-GB"/>
        </w:rPr>
        <w:t xml:space="preserve"/>
      </w:r>
      <w:r w:rsidR="00111031" w:rsidRPr="00001D81">
        <w:rPr>
          <w:rFonts w:ascii="Franklin Gothic Book" w:eastAsia="Times New Roman" w:hAnsi="Franklin Gothic Book" w:cs="Calibri Light"/>
          <w:b/>
          <w:bCs/>
          <w:color w:val="003777"/>
          <w:szCs w:val="20"/>
          <w:lang w:eastAsia="en-GB"/>
        </w:rPr>
        <w:t xml:space="preserve"/>
      </w:r>
      <w:r w:rsidR="00111031" w:rsidRPr="00001D81">
        <w:rPr>
          <w:rFonts w:ascii="Franklin Gothic Book" w:eastAsia="Times New Roman" w:hAnsi="Franklin Gothic Book" w:cs="Calibri Light"/>
          <w:szCs w:val="20"/>
          <w:lang w:eastAsia="en-GB"/>
        </w:rPr>
        <w:t xml:space="preserve"/>
      </w:r>
      <w:r w:rsidR="00001D81" w:rsidRPr="00A8739C">
        <w:rPr>
          <w:rFonts w:ascii="Franklin Gothic Book" w:eastAsia="Times New Roman" w:hAnsi="Franklin Gothic Book" w:cs="Calibri Light"/>
          <w:szCs w:val="20"/>
          <w:lang w:eastAsia="en-GB"/>
        </w:rPr>
        <w:t xml:space="preserve"/>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Mental health problems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64.4%</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32.6%</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A relationship affected by gambling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56.1%</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46.5%</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The North East</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higher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10.7%</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3rd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North East.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the North East</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the North East</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the North East</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£53,009,610</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North East</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£863,439</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£17,856,415</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£1,279,170</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£359,766</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£659,572</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£31,991,245</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£53,009,610</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England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8.5%, compared with 4.5%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6.6%, compared with 3.4%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3.4%, compared with 4.5% across England.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5.1%, compared with 4.5% across all adults in England.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3.0%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the North East</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48.0%</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52.0%</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26.1%</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36.3%</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53.0%</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52.2%</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9.9%</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6.8%</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6.0%</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2.8%</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5.0%</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2.0%</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East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20.9%</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11.6%</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5.0%</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2.0%</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21.4%</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25.5%</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34.7%</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39.5%</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25.6%</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32.0%</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36.0%</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55.5%</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59.3%</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5.8%</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10.6%</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7.6%</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10.5%</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4.4%</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0.7%</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8.1%</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3.9%</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0.4%</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East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the North East, with </w:t>
      </w:r>
      <w:r w:rsidR="005F35A7" w:rsidRPr="006E0C20">
        <w:rPr>
          <w:rFonts w:ascii="Franklin Gothic Book" w:hAnsi="Franklin Gothic Book" w:cs="Calibri Light"/>
          <w:b/>
          <w:bCs/>
          <w:color w:val="003777"/>
          <w:sz w:val="22"/>
          <w:szCs w:val="22"/>
        </w:rPr>
        <w:t xml:space="preserve">24.4%</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18.9% among those aged 35-54 and 8.7%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7.0%</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93.0%</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39.9%</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30.8%</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38.6%</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53.6%</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12.8%</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7.9%</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7.5%</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4.1%</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1.1%</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3.6%</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East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15.6%</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(21.4%), but they are </w:t>
      </w:r>
      <w:r w:rsidR="005F35A7" w:rsidRPr="006E0C20">
        <w:rPr>
          <w:rFonts w:ascii="Franklin Gothic Book" w:hAnsi="Franklin Gothic Book" w:cs="Calibri Light"/>
          <w:b/>
          <w:bCs/>
          <w:color w:val="003777"/>
          <w:sz w:val="22"/>
          <w:szCs w:val="22"/>
        </w:rPr>
        <w:t xml:space="preserve">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3.6%</w:t>
      </w:r>
      <w:r w:rsidR="005F35A7" w:rsidRPr="006E0C20">
        <w:rPr>
          <w:rFonts w:ascii="Franklin Gothic Book" w:hAnsi="Franklin Gothic Book" w:cs="Calibri Light"/>
          <w:sz w:val="22"/>
          <w:szCs w:val="22"/>
        </w:rPr>
        <w:t xml:space="preserve">, compared with 1.1%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2.3%</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24.6%</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22.5%</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50.6%</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49.4%</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35.6%</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35.5%</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26.6%</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37.8%</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57.5%</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46.1%</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53.0%</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7.7%</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5.8%</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9.5%</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9.2%</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5.1%</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1.0%</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7.5%</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5.2%</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0.0%</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0.0%</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1.4%</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6.0%</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East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employed</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6.0%</w:t>
      </w:r>
      <w:r w:rsidR="005F35A7" w:rsidRPr="006E0C20">
        <w:rPr>
          <w:rFonts w:ascii="Franklin Gothic Book" w:hAnsi="Franklin Gothic Book" w:cs="Calibri Light"/>
          <w:sz w:val="22"/>
          <w:szCs w:val="22"/>
        </w:rPr>
        <w:t xml:space="preserve">, compared with 1.4% for those unemployed / not working.</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57.0%</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43.0%</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32.7%</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31.2%</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48.5%</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56.1%</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10.4%</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6.8%</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5.1%</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3.0%</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3.3%</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2.9%</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East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3.3%</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2.9%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53.5%</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42.1%</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4.4%</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35.9%</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26.2%</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51.4%</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51.3%</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57.2%</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32.5%</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7.0%</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8.5%</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7.2%</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3.7%</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4.0%</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4.8%</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2.2%</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4.1%</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4.1%</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East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no religious faith</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the North East</w:t>
      </w:r>
      <w:r w:rsidR="004D2F15" w:rsidRPr="006E0C20">
        <w:rPr>
          <w:rFonts w:ascii="Franklin Gothic Book" w:hAnsi="Franklin Gothic Book" w:cs="Calibri Light"/>
          <w:sz w:val="22"/>
          <w:szCs w:val="22"/>
        </w:rPr>
        <w:t xml:space="preserve">, as well as </w:t>
      </w:r>
      <w:r w:rsidR="004D2F15" w:rsidRPr="006E0C20">
        <w:rPr>
          <w:rFonts w:ascii="Franklin Gothic Book" w:hAnsi="Franklin Gothic Book" w:cs="Calibri Light"/>
          <w:b/>
          <w:bCs/>
          <w:color w:val="003777"/>
          <w:sz w:val="22"/>
          <w:szCs w:val="22"/>
        </w:rPr>
        <w:t xml:space="preserve">more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4.1%</w:t>
      </w:r>
      <w:r w:rsidR="004D2F15" w:rsidRPr="006E0C20">
        <w:rPr>
          <w:rFonts w:ascii="Franklin Gothic Book" w:hAnsi="Franklin Gothic Book" w:cs="Calibri Light"/>
          <w:sz w:val="22"/>
          <w:szCs w:val="22"/>
        </w:rPr>
        <w:t xml:space="preserve"> compared with 2.2% among those of Christian faith.</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BD51F99F-8F21-4CB2-BAE6-DBE19600227E}"/>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